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32 vom 21. Mai 2014</w:t>
      </w:r>
    </w:p>
    <w:p>
      <w:r>
        <w:t>VS Kantonsgericht, 2014-05-21, FR</w:t>
      </w:r>
    </w:p>
    <w:p>
      <w:r>
        <w:rPr>
          <w:b/>
        </w:rPr>
        <w:t xml:space="preserve">Quelle: </w:t>
      </w:r>
      <w:r>
        <w:t>https://mcp.opencaselaw.ch/entscheid/vs_gerichte_C1 10 32</w:t>
      </w:r>
    </w:p>
    <w:p>
      <w:r>
        <w:t>FR: VS_GERICHTE C1 10 32 du 21 mai 2014</w:t>
      </w:r>
    </w:p>
    <w:p>
      <w:r>
        <w:t>IT: VS_GERICHTE C1 10 32 del 21 maggio 2014</w:t>
      </w:r>
    </w:p>
    <w:p>
      <w:pPr>
        <w:pStyle w:val="Heading2"/>
      </w:pPr>
      <w:r>
        <w:t>Erwägungen</w:t>
      </w:r>
    </w:p>
    <w:p>
      <w:r>
        <w:rPr>
          <w:b/>
        </w:rPr>
        <w:t>E. 7</w:t>
      </w:r>
    </w:p>
    <w:p>
      <w:r>
        <w:t>a) Le Tribunal de céans est compétent aussi bien ratione materiae (cf. art. 4 et 11 al. 2 LACPC) que fori (cf. art. 10 aLFors et 404 al. 2 CPC) pour connaître de la présente cause. b) Par ailleurs, dans la mesure où les prétentions des demanderesses reposent sur un même complexe de faits et de droit, il se justifie, par économie de procédure et au stade du jugement, de joindre les causes C1 10 32 et C1 10 33 (cf. art. 69 al. 1 CPC/VS et 404 al. 1 CPC).</w:t>
      </w:r>
    </w:p>
    <w:p>
      <w:r>
        <w:rPr>
          <w:b/>
        </w:rPr>
        <w:t>E. 8</w:t>
      </w:r>
    </w:p>
    <w:p>
      <w:r>
        <w:t>a) Il est établi qu’en vue de la construction du garage souhaité par Z_________, son architecte a conclu des contrats d’entreprise avec X_________ SA pour les travaux de maçonnerie, respectivement avec Y_________ SA pour les travaux de terrassement (cf. consid. 4). b) Le défendeur s’oppose toutefois aux demandes en paiement introduites à son encontre par ces deux sociétés, en soutenant, en substance, que, dans la mesure où le coût des travaux confiés à chacune d’entre elles a excédé 10'000 fr., son architecte n’avait pas, selon le contrat du 9 mai 2007 qui les liait (cf. consid. 2), le pouvoir d’agir en son nom et de le lier à celles-ci car lui-même n’y avait pas consenti. En d’autres</w:t>
      </w:r>
    </w:p>
    <w:p>
      <w:r>
        <w:t>- 9 - termes, il prétend ne pas avoir la qualité pour défendre aux deux procédures introduites par lesdites sociétés à son encontre.</w:t>
      </w:r>
    </w:p>
    <w:p>
      <w:r>
        <w:rPr>
          <w:b/>
        </w:rPr>
        <w:t>E. 9</w:t>
      </w:r>
    </w:p>
    <w:p>
      <w:r>
        <w:t>a)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Possède la qualité pour défendre (ou la légitimation passive), celui qui est l’obligé du droit litigieux. Ainsi, la reconnaissance de la qualité pour défendre signifie que le demandeur peut faire valoir sa prétention contre le défendeur. Cette question doit en particulier être examinée d'office et librement (cf. ATF 138 III 537 consid. 2.2.1 p. 540 et 126 III 59 consid. 1a p. 63 ainsi que les arrêts cités). Pour déterminer la personne qui a la qualité pour défendre et contre laquelle doit être ouverte l’action, il faut rechercher très précisément la disposition légale qui fonde le droit invoqué et, partant, en désigne l’obligé (cf. Hohl, Procédure civile, vol. I, Berne 2001, n. 443). b) aa) Les droits et obligations dérivant d'un contrat fait au nom d'une autre personne par un représentant autorisé passent au représenté (cf. art. 32 al. 1 CO).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(cf. art. 32 al. 2 CO). bb)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La représentation directe suppose que le représentant agisse expressément ou tacitement au nom du représenté. L'application du principe de la confiance permet de trancher la question de savoir si l'intéressé devait inférer des circonstances l'existence d'un rapport de représentation. Selon les termes de l’art. 32 al. 2 CO, la manifestation d’agir au nom d’autrui, expresse ou tacite, doit intervenir au moment de la conclusion du contrat ; en d’autres termes, si cette déclaration est faite postérieurement à la conclusion du contrat, cela ne suffit pas à établir l’existence d’un rapport de représentation (cf. ATF 126 III 59 consid. 1b p. 64 ainsi que arrêts non publiés du Tribunal fédéral du 9 janvier 2008 [4C.78/2007] consid. 5.1.1 et du 13 septembre 2005 [4C.134/2005] consid. 2.4.2.1; Zäch, Commentaire bernois, n. 54 ad art. 32 CO).</w:t>
      </w:r>
    </w:p>
    <w:p>
      <w:r>
        <w:t>- 10 - cc) La preuve de l’existence d’un rapport de représentation directe incombe à la partie qui s’en prévaut (cf. ATF 100 II 200 consid. 8a p. 211 et les références citées ; Watter, Commentaire bâlois, n. 34 ad art. 32 CO). Lorsque le tiers prétend être directement lié au représenté, il suffit qu’il prouve que le représentant disposait des pouvoirs nécessaires. A défaut de tels pouvoirs, il peut faire état de la communication des pouvoirs que lui aurait faite le représenté (cf. art. 33 al. 3 CO) ou d’une éventuelle ratification (cf. art. 38 al. 1 CO) par ce dernier (cf. Chappuis, Commentaire romand, n. 19 ad art. 32 CO). dd) Si l’examen des rapports internes révèle que le représenté n’a conféré des pouvoirs ni expressément, ni par actes concluants au représentant ou que les pouvoirs effectivement conférés ne couvrent pas l’acte accompli, une éventuelle protection du tiers de bonne foi entre en considération aux conditions posées par l’art. 33 al. 3 CO qui prévoit que si les pouvoirs ont été portés par le représenté à la connaissance d’un tiers, leur étendue est déterminée envers ce dernier par les termes de la communication qui lui a été faite. Deux conditions sont ainsi nécessaires : la communication des pouvoirs par le représenté au tiers qui va au-delà des pouvoirs effectivement conférés et la bonne foi du tiers. Si celui-ci s’est fié à cette communication et que, partant, il est en droit d’admettre que le représenté est engagé, sa bonne foi guérit le vice résultant du fait que les pouvoirs ne couvrent pas l’acte accompli, l’idée étant que celui qui laisse créer l’apparence d’un pouvoir de représentation se trouve lié par les actes accomplis en son nom (cf. Chappuis, op. cit., n. 19 ad art. 33 CO). ee) L’art. 38 al. 1 CO prescrit pour sa part que lorsqu’une personne contracte sans pouvoirs au nom d’un tiers, celui-ci ne devient créancier ou débiteur que s’il ratifie le contrat. L’absence de pouvoirs peut résulter du fait que les pouvoirs n’existent pas du tout, n’existent plus ou ne couvrent pas l’acte, sous réserve de l’application des dispositions protectrices de la bonne foi. Le moment déterminant est celui de la conclusion du contrat ou de l’accomplissement de l’acte juridique. Les pouvoirs ne couvrent pas l’acte, également en cas d’excès de pouvoir. Dans ce cas, la doctrine admet, par une application analogique de l’art. 20 al. 2 CO, la validité de la partie de l’acte qui est couverte par les pouvoirs, dans la mesure où l’acte est divisible (cf. Chappuis, op. cit., n. 4-5 ad art. 38 CO). La conséquence attachée par l’art. 38 al. 1 CO à un acte accompli sans pouvoirs est que le représenté ne devient ni créancier ni débiteur du tiers. Un tel acte reste sans effet obligatoire pour le représenté, à moins que celui-ci ne choisisse de ratifier l’acte</w:t>
      </w:r>
    </w:p>
    <w:p>
      <w:r>
        <w:t>- 11 - accompli sans pouvoirs en son nom. Tout comme l’octroi des pouvoirs, la ratification est un acte juridique unilatéral, par lequel le représenté exerce un droit formateur. Elle est irrévocable. Son contenu nécessaire est le contrat tel qu’il a été passé par le représentant ; en cas de divergence, la manifestation de volonté ne constitue pas une ratification, mais une nouvelle offre. Elle remplace le pouvoir manquant. La ratification n’est soumise à aucune forme, sauf si l’octroi du pouvoir devait en revêtir une ; elle peut être expresse ou résulter d’actes concluants, voire de la passivité du représenté. Le comportement de ce dernier est interprété selon le principe de la confiance. Ainsi, l’acte d’exécution d’un contrat sans pouvoirs peut être compris comme une ratification de celui-ci. Le silence du représenté ne vaut en principe pas ratification sauf lorsque les règles de la bonne foi exigent que le représenté manifeste son désaccord s’il entend ne pas être lié. La ratification a pour effet de créer un rapport contractuel entre le représenté et le tiers. Seuls le représenté et le tiers sont désormais liés. En l’absence de ratification, aucun rapport contractuel n’est créé, ni entre le représenté et le tiers, ni entre le représentant et le tiers. Celui-ci peut, le cas échéant, réclamer la réparation de son dommage au représenté en vertu de l’art. 36 al. 2 CO, au représentant en vertu de l’art. 39 CO (cf. Chappuis, op. cit., n. 6-8 ad art. 38 CO). c) Selon la jurisprudence, l'architecte chargé de l'adjudication des travaux agit en qualité de mandataire. Le mandat comprend le pouvoir de faire les actes juridiques nécessités par son exécution. En raison du caractère indéterminé de l’obligation de diligence du mandataire, ce dernier dispose d’un pouvoir d’appréciation. Ce pouvoir est cependant limité par la volonté hypothétique du mandant (cf. Chappuis, op. cit., n. 5 ad art. 396 CO). Le mandataire peut en conséquence valablement et sans procuration spéciale effectuer tous les actes juridiques qui sont normalement exigés pour atteindre le but escompté. Cette présomption vaut d’abord dans les rapports entre le mandant et le mandataire. Celui-ci peut admettre qu’il a le droit de faire les actes nécessaires sans violer ses obligations. Le mandant qui entend restreindre ces pouvoirs doit donc le faire savoir au mandataire. La présomption doit aussi pouvoir être invoquée par des tiers avec lesquels le mandataire noue des relations au nom du mandant. Dès l’instant où le tiers a connaissance du mandat, il a le droit de conclure que le mandataire a les pouvoirs prévus par l’art. 396 al. 2 CO ; si tel n’est en réalité pas ou plus le cas, le mandant doit le faire savoir aux tiers qui ne pourront plus invoquer leur bonne foi (cf. art. 34 al. 3 CO et Tercier/Favre, Les contrats spéciaux, 4ème éd., Zurich 2009, n. 5081- 5083). Toutefois, l’art. 396 al. 2 CO n'habilite pas l'architecte à adjuger au nom du maître des travaux aux entrepreneurs. La jurisprudence a en effet précisé qu'à défaut de pouvoirs exprès, l'architecte ne saurait effectuer pour le maître de l'ouvrage des</w:t>
      </w:r>
    </w:p>
    <w:p>
      <w:r>
        <w:t>- 12 - actes juridiques susceptibles d'engendrer pour ce dernier des engagements financiers importants (cf. arrêt non publié du Tribunal fédéral du 25 août 2003 [4C.87/2003] consid. 5.2.2 et les références citées).</w:t>
      </w:r>
    </w:p>
    <w:p>
      <w:r>
        <w:rPr>
          <w:b/>
        </w:rPr>
        <w:t>E. 10</w:t>
      </w:r>
    </w:p>
    <w:p>
      <w:r>
        <w:t>a) Le 9 mai 2007, Z_________ a contractuellement conféré à l’architecte H_________ le pouvoir de le représenter et de conclure en son nom des contrats avec des tiers pour autant toutefois que les sommes en jeu ne soient pas supérieures au montant de « 10'000 fr. (TVA exclue) individuellement » (cf. consid. 2). Or, ainsi qu’on l’a vu (cf. consid. 4), cet architecte a conclu, dans le cadre du projet de construction du garage de son mandant, deux contrats d’entreprise (cf. consid. 8) pour des travaux dont le prix excédait manifestement la limite précitée de 10'000 fr., le premier, avec X_________ SA, portant sur des travaux de maçonnerie dont le coût final s’est élevé à 73'297 fr. 10 (cf. consid. 4g) et le second, avec Y_________ SA, pour les travaux de terrassement qui ont été facturés 27'496 fr. 75 (cf. consid. 4f). Dans cette mesure, il faut admettre que l’architecte précité a conclu ces contrats en excédant largement son pouvoir de représentation, de sorte que ceux-ci ne lient pas le défendeur, à moins que ce dernier n’ait informé les demanderesses du fait que son architecte était autorisé à les conclure, en son nom, dans cette ampleur, ou qu’il ne les ait ratifiés expressément ou par actes concluants (cf. 9b/dd, 9b/ee et 9c). b) A cet égard, il faut d’emblée relever qu’il est établi que les parties ne se sont jamais rencontrées avant la présente procédure (cf. consid. 4j ainsi que dos. C1 10 32 p. 159 et 260) et qu’en particulier, Z_________ ne s’est jamais rendu sur le chantier durant la construction de son garage (cf. dos. C1 10 32 p. 157 et 261). Il n’a en outre jamais donné d’instructions aux demanderesses, ni n’a eu le moindre comportement pouvant leur laisser penser de bonne foi (cf. art. 33 al. 3 CO) qu’il avait donné son accord à tous les travaux réalisés, et notamment à ceux, très conséquents, de « reprise en sous-œuvre » décidés en cours de construction et pour lesquels, aux dires mêmes de son architecte, il n’a jamais été invité à donner son aval (cf. consid. 4d). c) Par ailleurs, même si après avoir eu connaissance des factures des demanderesses des 24 septembre, respectivement 8 octobre 2007, le défendeur a effectivement versé, le 30 novembre 2007, un montant de 2'000 fr. à Y_________ SA ainsi qu’une somme de 37'500 fr. à X_________ SA, et que, de ce fait, il a partiellement exécuté les contrats conclus par son architecte avec ces deux sociétés, ces exécutions partielles ne peuvent toutefois être assimilées à des ratifications sans réserve de ces contrats (cf. art. 38 al. 1 CO). Elles ne peuvent tout au plus qu’en constituer des ratifications partielles qui remplacent le pouvoir de représentation</w:t>
      </w:r>
    </w:p>
    <w:p>
      <w:r>
        <w:t>- 13 - manquant, mais uniquement jusqu’à concurrence des sommes admises par Z_________ (cf. consid. 9b/ee). d) Au surplus, même si les bons de paiement de 73'000 fr. et 27'000 fr. établis par l’architecte H_________ le 5 novembre 2007 ont été contresignés sous la rubrique «date et signature du maître de l’ouvrage» par le directeur de L_________ SA, cette contre-signature ne peut être considérée comme une ratification pure et simple des contrats litigieux par le défendeur, puisque ce dernier n’a chargé cette société que de procéder pour son compte à des paiements au moyen de fonds qu’il lui transférait (cf. consid. 4h) et non pas de le représenter de manière générale et sans limite. e) Au vu de ce qui précède, force est dès lors de constater qu’aucun rapport contractuel n’a été créé entre les parties s’agissant du solde impayé des factures précitées des 24 septembre 2007 et 8 octobre 2007 et que, par conséquent, Z_________ ne bénéficie pas de la qualité pour défendre aux actions en paiement introduites à son encontre par X_________ SA et Y_________ SA. Dans ces conditions, ces dernières ne peuvent qu’être purement et simplement rejetées.</w:t>
      </w:r>
    </w:p>
    <w:p>
      <w:r>
        <w:rPr>
          <w:b/>
        </w:rPr>
        <w:t>E. 11</w:t>
      </w:r>
    </w:p>
    <w:p>
      <w:r>
        <w:t>a) Succombant, les demanderesses doivent supporter la totalité des frais de justice qui comprennent les débours du Tribunal et l'émolument judiciaire. Compte tenu des conclusions respectives de chacune d’elles, il se justifie de répartir ces frais à raison de 60 % à la charge de X_________ SA et de 40 % à la charge de Y_________ SA (cf. art. 252 al. 1 CPC/VS et 404 al. 1 CPC). Eu égard à la nature des causes C1 10 32 et C1 10 33, les frais de justice doivent être globalement fixés à 12'000 fr., débours (6'735 fr. 65, soit expertise : 6'434 fr. 65, indemnités pour les témoins : 201 fr. et huissier : 100 fr.) compris (cf. art. 13 et 16 al. 1 LTar). Ces frais, mis à concurrence de 7'200 fr. à la charge de X_________ SA et de 4'800 fr. à la charge de Y_________ SA, seront prélevés sur les avances effectuées, à charge pour X_________ SA de verser à Z_________ un montant de 3'450 fr. à titre de remboursement d’avances et pour Y_________ SA de lui verser un montant de 1'240 fr. au même titre. b) La condamnation aux frais entraîne la condamnation aux dépens dans les mêmes proportions (cf. art. 260 al. 1 CPC/VS et 404 al. 1 CPC).</w:t>
      </w:r>
    </w:p>
    <w:p>
      <w:r>
        <w:t>- 14 - En l'occurrence, l’activité du mandataire du défendeur dans les causes C1 10 32 et C1 10 33 a essentiellement consisté en la rédaction de deux mémoires-réponse de quatorze pages accompagnés d'un bordereau et d’une pièce, d’un questionnaire à l’attention de l'expert et de huit courriers au Tribunal de céans. Il a également participé au débat préliminaire, à deux séances d’instruction ainsi qu’au débat final. Compte tenu du travail accompli, ses honoraires et débours peuvent ainsi être arrêtés globalement à 9'000 fr. (cf. art. 27 et 32 al. 1 LTar). X_________ SA versera ainsi une indemnité de 5'400 fr. à Z_________ à titre de dépens, alors que Y_________ SA lui versera, au même titre, une indemnité de 3'600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